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19" w:type="dxa"/>
        <w:tblInd w:w="993" w:type="dxa"/>
        <w:tblLook w:val="04A0" w:firstRow="1" w:lastRow="0" w:firstColumn="1" w:lastColumn="0" w:noHBand="0" w:noVBand="1"/>
      </w:tblPr>
      <w:tblGrid>
        <w:gridCol w:w="563"/>
        <w:gridCol w:w="4180"/>
        <w:gridCol w:w="2025"/>
        <w:gridCol w:w="1570"/>
        <w:gridCol w:w="1487"/>
        <w:gridCol w:w="1694"/>
      </w:tblGrid>
      <w:tr w:rsidR="00B469F1" w:rsidRPr="00B469F1" w:rsidTr="00B469F1">
        <w:trPr>
          <w:trHeight w:val="375"/>
        </w:trPr>
        <w:tc>
          <w:tcPr>
            <w:tcW w:w="4743" w:type="dxa"/>
            <w:gridSpan w:val="2"/>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8"/>
                <w:szCs w:val="28"/>
              </w:rPr>
            </w:pPr>
            <w:r w:rsidRPr="00B469F1">
              <w:rPr>
                <w:rFonts w:ascii="Times New Roman" w:eastAsia="Times New Roman" w:hAnsi="Times New Roman" w:cs="Times New Roman"/>
                <w:color w:val="000000"/>
                <w:sz w:val="28"/>
                <w:szCs w:val="28"/>
              </w:rPr>
              <w:t>CÔNG AN TỈNH ĐỒNG NAI</w:t>
            </w:r>
          </w:p>
        </w:tc>
        <w:tc>
          <w:tcPr>
            <w:tcW w:w="6776" w:type="dxa"/>
            <w:gridSpan w:val="4"/>
            <w:tcBorders>
              <w:top w:val="nil"/>
              <w:left w:val="nil"/>
              <w:bottom w:val="nil"/>
              <w:right w:val="nil"/>
            </w:tcBorders>
            <w:shd w:val="clear" w:color="auto" w:fill="auto"/>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b/>
                <w:bCs/>
                <w:color w:val="000000"/>
                <w:sz w:val="28"/>
                <w:szCs w:val="28"/>
              </w:rPr>
              <w:t>CỘNG HÒA XÃ HỘI CHỦ NGHĨA VIỆT NAM</w:t>
            </w:r>
          </w:p>
        </w:tc>
      </w:tr>
      <w:tr w:rsidR="00B469F1" w:rsidRPr="00B469F1" w:rsidTr="00B469F1">
        <w:trPr>
          <w:trHeight w:val="405"/>
        </w:trPr>
        <w:tc>
          <w:tcPr>
            <w:tcW w:w="4743" w:type="dxa"/>
            <w:gridSpan w:val="2"/>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240" behindDoc="0" locked="0" layoutInCell="1" allowOverlap="1" wp14:anchorId="7061D02B" wp14:editId="737BFE00">
                      <wp:simplePos x="0" y="0"/>
                      <wp:positionH relativeFrom="column">
                        <wp:posOffset>541020</wp:posOffset>
                      </wp:positionH>
                      <wp:positionV relativeFrom="paragraph">
                        <wp:posOffset>255270</wp:posOffset>
                      </wp:positionV>
                      <wp:extent cx="1666875" cy="0"/>
                      <wp:effectExtent l="0" t="0" r="28575" b="19050"/>
                      <wp:wrapNone/>
                      <wp:docPr id="2" name="Straight Connector 2">
                        <a:extLst xmlns:a="http://schemas.openxmlformats.org/drawingml/2006/main">
                          <a:ext uri="{FF2B5EF4-FFF2-40B4-BE49-F238E27FC236}">
                            <a16:creationId xmlns:a16="http://schemas.microsoft.com/office/drawing/2014/main" id="{83F29242-7AC1-488E-A7CC-D45F09B2CA62}"/>
                          </a:ext>
                        </a:extLst>
                      </wp:docPr>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248A9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0.1pt" to="173.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" strokecolor="black [3200]" strokeweight=".5pt">
                      <v:stroke joinstyle="miter"/>
                    </v:line>
                  </w:pict>
                </mc:Fallback>
              </mc:AlternateContent>
            </w:r>
            <w:r w:rsidRPr="00B469F1">
              <w:rPr>
                <w:rFonts w:ascii="Times New Roman" w:eastAsia="Times New Roman" w:hAnsi="Times New Roman" w:cs="Times New Roman"/>
                <w:b/>
                <w:bCs/>
                <w:color w:val="000000"/>
                <w:sz w:val="28"/>
                <w:szCs w:val="28"/>
              </w:rPr>
              <w:t>CÔNG AN HUYỆN NHƠN TRẠCH</w:t>
            </w:r>
          </w:p>
        </w:tc>
        <w:tc>
          <w:tcPr>
            <w:tcW w:w="6776"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560"/>
            </w:tblGrid>
            <w:tr w:rsidR="00B469F1" w:rsidRPr="00B469F1">
              <w:trPr>
                <w:trHeight w:val="405"/>
                <w:tblCellSpacing w:w="0" w:type="dxa"/>
              </w:trPr>
              <w:tc>
                <w:tcPr>
                  <w:tcW w:w="6560"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4DC8ED96" wp14:editId="304F7340">
                            <wp:simplePos x="0" y="0"/>
                            <wp:positionH relativeFrom="column">
                              <wp:posOffset>1073785</wp:posOffset>
                            </wp:positionH>
                            <wp:positionV relativeFrom="paragraph">
                              <wp:posOffset>248285</wp:posOffset>
                            </wp:positionV>
                            <wp:extent cx="1971675" cy="0"/>
                            <wp:effectExtent l="0" t="0" r="28575" b="19050"/>
                            <wp:wrapNone/>
                            <wp:docPr id="7" name="Straight Connector 7">
                              <a:extLst xmlns:a="http://schemas.openxmlformats.org/drawingml/2006/main">
                                <a:ext uri="{FF2B5EF4-FFF2-40B4-BE49-F238E27FC236}">
                                  <a16:creationId xmlns:a16="http://schemas.microsoft.com/office/drawing/2014/main" id="{F1A0CA19-CE21-4A2F-B6A9-96695EA00FCB}"/>
                                </a:ext>
                              </a:extLst>
                            </wp:docPr>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97B2A0"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19.55pt" to="239.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" strokecolor="black [3200]" strokeweight=".5pt">
                            <v:stroke joinstyle="miter"/>
                          </v:line>
                        </w:pict>
                      </mc:Fallback>
                    </mc:AlternateContent>
                  </w:r>
                  <w:r w:rsidRPr="00B469F1">
                    <w:rPr>
                      <w:rFonts w:ascii="Times New Roman" w:eastAsia="Times New Roman" w:hAnsi="Times New Roman" w:cs="Times New Roman"/>
                      <w:b/>
                      <w:bCs/>
                      <w:color w:val="000000"/>
                      <w:sz w:val="28"/>
                      <w:szCs w:val="28"/>
                    </w:rPr>
                    <w:t>Độc lập - Tự do -Hạnh phúc</w:t>
                  </w:r>
                </w:p>
              </w:tc>
            </w:tr>
          </w:tbl>
          <w:p w:rsidR="00B469F1" w:rsidRPr="00B469F1" w:rsidRDefault="00B469F1" w:rsidP="00B469F1">
            <w:pPr>
              <w:spacing w:after="0" w:line="240" w:lineRule="auto"/>
              <w:rPr>
                <w:rFonts w:ascii="Times New Roman" w:eastAsia="Times New Roman" w:hAnsi="Times New Roman" w:cs="Times New Roman"/>
                <w:color w:val="000000"/>
                <w:sz w:val="24"/>
                <w:szCs w:val="24"/>
              </w:rPr>
            </w:pPr>
          </w:p>
        </w:tc>
      </w:tr>
      <w:tr w:rsidR="00B469F1" w:rsidRPr="00B469F1" w:rsidTr="00B469F1">
        <w:trPr>
          <w:trHeight w:val="229"/>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color w:val="000000"/>
                <w:sz w:val="28"/>
                <w:szCs w:val="28"/>
              </w:rPr>
            </w:pPr>
          </w:p>
        </w:tc>
        <w:tc>
          <w:tcPr>
            <w:tcW w:w="2025"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color w:val="000000"/>
                <w:sz w:val="28"/>
                <w:szCs w:val="28"/>
              </w:rPr>
            </w:pPr>
          </w:p>
        </w:tc>
        <w:tc>
          <w:tcPr>
            <w:tcW w:w="157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694"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375"/>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6776" w:type="dxa"/>
            <w:gridSpan w:val="4"/>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right"/>
              <w:rPr>
                <w:rFonts w:ascii="Times New Roman" w:eastAsia="Times New Roman" w:hAnsi="Times New Roman" w:cs="Times New Roman"/>
                <w:i/>
                <w:iCs/>
                <w:color w:val="000000"/>
                <w:sz w:val="28"/>
                <w:szCs w:val="28"/>
              </w:rPr>
            </w:pPr>
            <w:r w:rsidRPr="00B469F1">
              <w:rPr>
                <w:rFonts w:ascii="Times New Roman" w:eastAsia="Times New Roman" w:hAnsi="Times New Roman" w:cs="Times New Roman"/>
                <w:i/>
                <w:iCs/>
                <w:color w:val="000000"/>
                <w:sz w:val="28"/>
                <w:szCs w:val="28"/>
              </w:rPr>
              <w:t>Nhơn Trạch, ngày   22  tháng 01 năm 2025</w:t>
            </w:r>
          </w:p>
        </w:tc>
      </w:tr>
      <w:tr w:rsidR="00B469F1" w:rsidRPr="00B469F1" w:rsidTr="00B469F1">
        <w:trPr>
          <w:trHeight w:val="180"/>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jc w:val="right"/>
              <w:rPr>
                <w:rFonts w:ascii="Times New Roman" w:eastAsia="Times New Roman" w:hAnsi="Times New Roman" w:cs="Times New Roman"/>
                <w:i/>
                <w:iCs/>
                <w:color w:val="000000"/>
                <w:sz w:val="28"/>
                <w:szCs w:val="28"/>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57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694"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510"/>
        </w:trPr>
        <w:tc>
          <w:tcPr>
            <w:tcW w:w="11519" w:type="dxa"/>
            <w:gridSpan w:val="6"/>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32"/>
                <w:szCs w:val="32"/>
              </w:rPr>
            </w:pPr>
            <w:r w:rsidRPr="00B469F1">
              <w:rPr>
                <w:rFonts w:ascii="Times New Roman" w:eastAsia="Times New Roman" w:hAnsi="Times New Roman" w:cs="Times New Roman"/>
                <w:b/>
                <w:bCs/>
                <w:color w:val="000000"/>
                <w:sz w:val="32"/>
                <w:szCs w:val="32"/>
              </w:rPr>
              <w:t>THÔNG BÁO KẾT QUẢ LỰA CHỌN TỔ CHỨC ĐẤU GIÁ TÀI SẢN</w:t>
            </w:r>
          </w:p>
        </w:tc>
      </w:tr>
      <w:tr w:rsidR="00B469F1" w:rsidRPr="00B469F1" w:rsidTr="00B469F1">
        <w:trPr>
          <w:trHeight w:val="180"/>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32"/>
                <w:szCs w:val="32"/>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57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694"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510"/>
        </w:trPr>
        <w:tc>
          <w:tcPr>
            <w:tcW w:w="4743" w:type="dxa"/>
            <w:gridSpan w:val="2"/>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b/>
                <w:bCs/>
                <w:color w:val="000000"/>
                <w:sz w:val="28"/>
                <w:szCs w:val="28"/>
              </w:rPr>
              <w:t>I. KẾT QUẢ LỰA CHỌN</w:t>
            </w:r>
          </w:p>
        </w:tc>
        <w:tc>
          <w:tcPr>
            <w:tcW w:w="2025"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8"/>
                <w:szCs w:val="28"/>
              </w:rPr>
            </w:pPr>
          </w:p>
        </w:tc>
        <w:tc>
          <w:tcPr>
            <w:tcW w:w="1570"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694"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360"/>
        </w:trPr>
        <w:tc>
          <w:tcPr>
            <w:tcW w:w="11519" w:type="dxa"/>
            <w:gridSpan w:val="6"/>
            <w:tcBorders>
              <w:top w:val="nil"/>
              <w:left w:val="nil"/>
              <w:bottom w:val="nil"/>
              <w:right w:val="nil"/>
            </w:tcBorders>
            <w:shd w:val="clear" w:color="auto" w:fill="auto"/>
            <w:vAlign w:val="center"/>
            <w:hideMark/>
          </w:tcPr>
          <w:p w:rsidR="00B469F1" w:rsidRPr="00B469F1" w:rsidRDefault="00B469F1" w:rsidP="00B469F1">
            <w:pPr>
              <w:spacing w:after="0" w:line="240" w:lineRule="auto"/>
              <w:rPr>
                <w:rFonts w:ascii="Times New Roman" w:eastAsia="Times New Roman" w:hAnsi="Times New Roman" w:cs="Times New Roman"/>
                <w:color w:val="000000"/>
                <w:sz w:val="28"/>
                <w:szCs w:val="28"/>
              </w:rPr>
            </w:pPr>
            <w:r w:rsidRPr="00B469F1">
              <w:rPr>
                <w:rFonts w:ascii="Times New Roman" w:eastAsia="Times New Roman" w:hAnsi="Times New Roman" w:cs="Times New Roman"/>
                <w:color w:val="000000"/>
                <w:sz w:val="28"/>
                <w:szCs w:val="28"/>
              </w:rPr>
              <w:t>1. Tên, địa chỉ tổ chức đấu giá tài sản được lựa chọn: Trung tâm DV đấu giá tài sản tỉnh Đồng Nai</w:t>
            </w:r>
          </w:p>
        </w:tc>
      </w:tr>
      <w:tr w:rsidR="00B469F1" w:rsidRPr="00B469F1" w:rsidTr="00B469F1">
        <w:trPr>
          <w:trHeight w:val="375"/>
        </w:trPr>
        <w:tc>
          <w:tcPr>
            <w:tcW w:w="11519" w:type="dxa"/>
            <w:gridSpan w:val="6"/>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color w:val="000000"/>
                <w:sz w:val="28"/>
                <w:szCs w:val="28"/>
              </w:rPr>
            </w:pPr>
            <w:r w:rsidRPr="00B469F1">
              <w:rPr>
                <w:rFonts w:ascii="Times New Roman" w:eastAsia="Times New Roman" w:hAnsi="Times New Roman" w:cs="Times New Roman"/>
                <w:color w:val="000000"/>
                <w:sz w:val="28"/>
                <w:szCs w:val="28"/>
              </w:rPr>
              <w:t>2. Tổng số điểm của tổ chức đấu giá tài sản được lựa chọn: 87 điểm.</w:t>
            </w:r>
          </w:p>
        </w:tc>
      </w:tr>
      <w:tr w:rsidR="00B469F1" w:rsidRPr="00B469F1" w:rsidTr="00B469F1">
        <w:trPr>
          <w:trHeight w:val="360"/>
        </w:trPr>
        <w:tc>
          <w:tcPr>
            <w:tcW w:w="11519" w:type="dxa"/>
            <w:gridSpan w:val="6"/>
            <w:tcBorders>
              <w:top w:val="nil"/>
              <w:left w:val="nil"/>
              <w:bottom w:val="nil"/>
              <w:right w:val="nil"/>
            </w:tcBorders>
            <w:shd w:val="clear" w:color="auto" w:fill="auto"/>
            <w:vAlign w:val="center"/>
            <w:hideMark/>
          </w:tcPr>
          <w:p w:rsidR="00B469F1" w:rsidRPr="00B469F1" w:rsidRDefault="00B469F1" w:rsidP="00B469F1">
            <w:pPr>
              <w:spacing w:after="0" w:line="240" w:lineRule="auto"/>
              <w:rPr>
                <w:rFonts w:ascii="Times New Roman" w:eastAsia="Times New Roman" w:hAnsi="Times New Roman" w:cs="Times New Roman"/>
                <w:color w:val="000000"/>
                <w:sz w:val="28"/>
                <w:szCs w:val="28"/>
              </w:rPr>
            </w:pPr>
            <w:r w:rsidRPr="00B469F1">
              <w:rPr>
                <w:rFonts w:ascii="Times New Roman" w:eastAsia="Times New Roman" w:hAnsi="Times New Roman" w:cs="Times New Roman"/>
                <w:color w:val="000000"/>
                <w:sz w:val="28"/>
                <w:szCs w:val="28"/>
              </w:rPr>
              <w:t xml:space="preserve">3. Tổ chức đấu giá tài sản bị từ chối xem xét, đánh giá hồ sơ kèm theo lý do từ chối (nếu có): không </w:t>
            </w:r>
          </w:p>
        </w:tc>
      </w:tr>
      <w:tr w:rsidR="00B469F1" w:rsidRPr="00B469F1" w:rsidTr="00B469F1">
        <w:trPr>
          <w:trHeight w:val="615"/>
        </w:trPr>
        <w:tc>
          <w:tcPr>
            <w:tcW w:w="11519" w:type="dxa"/>
            <w:gridSpan w:val="6"/>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b/>
                <w:bCs/>
                <w:color w:val="000000"/>
                <w:sz w:val="28"/>
                <w:szCs w:val="28"/>
              </w:rPr>
              <w:t>II. KẾT QUẢ CHẤM ĐIỂM (bao gồm cả tổ chức đấu giá tài sản được lựa chọn)</w:t>
            </w:r>
          </w:p>
        </w:tc>
      </w:tr>
      <w:tr w:rsidR="00B469F1" w:rsidRPr="00B469F1" w:rsidTr="00B469F1">
        <w:trPr>
          <w:trHeight w:val="375"/>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b/>
                <w:bCs/>
                <w:color w:val="000000"/>
                <w:sz w:val="28"/>
                <w:szCs w:val="28"/>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57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694"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1650"/>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TT</w:t>
            </w:r>
          </w:p>
        </w:tc>
        <w:tc>
          <w:tcPr>
            <w:tcW w:w="4180" w:type="dxa"/>
            <w:tcBorders>
              <w:top w:val="single" w:sz="4" w:space="0" w:color="auto"/>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NỘI DUNG</w:t>
            </w:r>
          </w:p>
        </w:tc>
        <w:tc>
          <w:tcPr>
            <w:tcW w:w="2025" w:type="dxa"/>
            <w:tcBorders>
              <w:top w:val="single" w:sz="4" w:space="0" w:color="auto"/>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Trung tâm dịch vụ đấu giá tài sản tỉnh Đồng Nai</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Công ty đấu giá hợp danh Khải Bảo</w:t>
            </w:r>
          </w:p>
        </w:tc>
        <w:tc>
          <w:tcPr>
            <w:tcW w:w="1487" w:type="dxa"/>
            <w:tcBorders>
              <w:top w:val="single" w:sz="4" w:space="0" w:color="auto"/>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Công ty đấu giá hợp danh bất động sản Việt</w:t>
            </w:r>
          </w:p>
        </w:tc>
        <w:tc>
          <w:tcPr>
            <w:tcW w:w="1694" w:type="dxa"/>
            <w:tcBorders>
              <w:top w:val="single" w:sz="4" w:space="0" w:color="auto"/>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Công ty đấu giá hợp danh Thái Bình Hưng</w:t>
            </w:r>
          </w:p>
        </w:tc>
      </w:tr>
      <w:tr w:rsidR="00B469F1" w:rsidRPr="00B469F1" w:rsidTr="00B469F1">
        <w:trPr>
          <w:trHeight w:val="1395"/>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I</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Cơ sở vật chất, trang thiết bị cần thiết bảo đảm cho việc đấu giá đối với loại tài sản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23</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22</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23</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22</w:t>
            </w:r>
          </w:p>
        </w:tc>
      </w:tr>
      <w:tr w:rsidR="00B469F1" w:rsidRPr="00B469F1" w:rsidTr="00B469F1">
        <w:trPr>
          <w:trHeight w:val="78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1</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Cơ sở vật chất bảo đảm cho việc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11</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11</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11</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11</w:t>
            </w:r>
          </w:p>
        </w:tc>
      </w:tr>
      <w:tr w:rsidR="00B469F1" w:rsidRPr="00B469F1" w:rsidTr="00B469F1">
        <w:trPr>
          <w:trHeight w:val="87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lastRenderedPageBreak/>
              <w:t>2</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Trang thiết bị cần thiết bảo đảm cho việc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8</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8</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8</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8</w:t>
            </w:r>
          </w:p>
        </w:tc>
      </w:tr>
      <w:tr w:rsidR="00B469F1" w:rsidRPr="00B469F1" w:rsidTr="00B469F1">
        <w:trPr>
          <w:trHeight w:val="66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3</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Có trang thông tin điện tử đang hoạt động</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r>
      <w:tr w:rsidR="00B469F1" w:rsidRPr="00B469F1" w:rsidTr="00B469F1">
        <w:trPr>
          <w:trHeight w:val="112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4</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Đã được cơ quan có thẩm quyền phê duyệt đủ điều kiện thực hiện hình thức đấu giá trực tuyến</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0</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0</w:t>
            </w:r>
          </w:p>
        </w:tc>
      </w:tr>
      <w:tr w:rsidR="00B469F1" w:rsidRPr="00B469F1" w:rsidTr="00B469F1">
        <w:trPr>
          <w:trHeight w:val="54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5</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Có nơi lưu trữ hồ sơ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r>
      <w:tr w:rsidR="00B469F1" w:rsidRPr="00B469F1" w:rsidTr="00B469F1">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II</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Phương án đấu giá khả thi, hiệu quả (Thuyết minh đầy đủ các nội dung trong phương án)</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22</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21</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21</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21</w:t>
            </w:r>
          </w:p>
        </w:tc>
      </w:tr>
      <w:tr w:rsidR="00B469F1" w:rsidRPr="00B469F1" w:rsidTr="00B469F1">
        <w:trPr>
          <w:trHeight w:val="145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1</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Phương án đấu giá đề xuất việc tổ chức đấu giá đúng quy định của pháp luật, bảo đảm tính công khai, minh bạch, khách quan</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r>
      <w:tr w:rsidR="00B469F1" w:rsidRPr="00B469F1" w:rsidTr="00B469F1">
        <w:trPr>
          <w:trHeight w:val="25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2</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r>
      <w:tr w:rsidR="00B469F1" w:rsidRPr="00B469F1" w:rsidTr="00B469F1">
        <w:trPr>
          <w:trHeight w:val="124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lastRenderedPageBreak/>
              <w:t>3</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Phương án đấu giá đề xuất cách thức bảo mật thông tin, chống thông đồng, dìm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r>
      <w:tr w:rsidR="00B469F1" w:rsidRPr="00B469F1" w:rsidTr="00B469F1">
        <w:trPr>
          <w:trHeight w:val="151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4</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Phương án đấu giá đề xuất thêm các địa điểm, hình thức niêm yết, thông báo công khai khác nhằm tăng mức độ phổ biến thông tin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r>
      <w:tr w:rsidR="00B469F1" w:rsidRPr="00B469F1" w:rsidTr="00B469F1">
        <w:trPr>
          <w:trHeight w:val="111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5</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Phương án đấu giá đề xuất giải pháp bảo đảm an toàn, an ninh trật tự cho việc tổ chức thực hiện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r>
      <w:tr w:rsidR="00B469F1" w:rsidRPr="00B469F1" w:rsidTr="00B469F1">
        <w:trPr>
          <w:trHeight w:val="153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6</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Phương án đấu giá đề xuất các giải pháp giải quyết các tình huống phát sinh trong quá trình tổ chức thực hiện việc đấu giá</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r>
      <w:tr w:rsidR="00B469F1" w:rsidRPr="00B469F1" w:rsidTr="00B469F1">
        <w:trPr>
          <w:trHeight w:val="76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III</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Năng lực, kinh nghiệm và uy tín của tổ chức đấu giá tài sản</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32</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33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28</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33</w:t>
            </w:r>
          </w:p>
        </w:tc>
      </w:tr>
      <w:tr w:rsidR="00B469F1" w:rsidRPr="00B469F1" w:rsidTr="00B469F1">
        <w:trPr>
          <w:trHeight w:val="33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lastRenderedPageBreak/>
              <w:t>1</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w:t>
            </w:r>
            <w:r w:rsidRPr="00B469F1">
              <w:rPr>
                <w:rFonts w:ascii="Times New Roman" w:eastAsia="Times New Roman" w:hAnsi="Times New Roman" w:cs="Times New Roman"/>
                <w:i/>
                <w:iCs/>
                <w:color w:val="000000"/>
                <w:sz w:val="26"/>
                <w:szCs w:val="26"/>
              </w:rPr>
              <w:br/>
              <w:t>Chỉ chọn chấm điểm một trong các tiêu chí 1.1, 1.2, 1.3, 1.4 hoặc 1.5</w:t>
            </w:r>
          </w:p>
        </w:tc>
        <w:tc>
          <w:tcPr>
            <w:tcW w:w="2025"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694"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r>
      <w:tr w:rsidR="00B469F1" w:rsidRPr="00B469F1" w:rsidTr="00B469F1">
        <w:trPr>
          <w:trHeight w:val="426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2</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r w:rsidRPr="00B469F1">
              <w:rPr>
                <w:rFonts w:ascii="Times New Roman" w:eastAsia="Times New Roman" w:hAnsi="Times New Roman" w:cs="Times New Roman"/>
                <w:i/>
                <w:iCs/>
                <w:color w:val="000000"/>
                <w:sz w:val="26"/>
                <w:szCs w:val="26"/>
              </w:rPr>
              <w:br/>
              <w:t>Chỉ chọn chấm điểm một trong các tiêu chí 2.1, 2.2, 2.3, 2.4 hoặc 2.5</w:t>
            </w:r>
          </w:p>
        </w:tc>
        <w:tc>
          <w:tcPr>
            <w:tcW w:w="2025"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10</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10</w:t>
            </w:r>
          </w:p>
        </w:tc>
        <w:tc>
          <w:tcPr>
            <w:tcW w:w="1487"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10</w:t>
            </w:r>
          </w:p>
        </w:tc>
        <w:tc>
          <w:tcPr>
            <w:tcW w:w="1694"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16</w:t>
            </w:r>
          </w:p>
        </w:tc>
      </w:tr>
      <w:tr w:rsidR="00B469F1" w:rsidRPr="00B469F1" w:rsidTr="00B469F1">
        <w:trPr>
          <w:trHeight w:val="33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lastRenderedPageBreak/>
              <w:t>3</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r w:rsidRPr="00B469F1">
              <w:rPr>
                <w:rFonts w:ascii="Times New Roman" w:eastAsia="Times New Roman" w:hAnsi="Times New Roman" w:cs="Times New Roman"/>
                <w:i/>
                <w:iCs/>
                <w:color w:val="000000"/>
                <w:sz w:val="26"/>
                <w:szCs w:val="26"/>
              </w:rPr>
              <w:br/>
              <w:t>Chỉ chọn chấm điểm một trong các tiêu chí 3.1, 3.2 hoặc 3.3</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r>
      <w:tr w:rsidR="00B469F1" w:rsidRPr="00B469F1" w:rsidTr="00B469F1">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4</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Số lượng đấu giá viên của tổ chức đấu giá tài sản</w:t>
            </w:r>
            <w:r w:rsidRPr="00B469F1">
              <w:rPr>
                <w:rFonts w:ascii="Times New Roman" w:eastAsia="Times New Roman" w:hAnsi="Times New Roman" w:cs="Times New Roman"/>
                <w:i/>
                <w:iCs/>
                <w:color w:val="000000"/>
                <w:sz w:val="26"/>
                <w:szCs w:val="26"/>
              </w:rPr>
              <w:br/>
              <w:t>Chỉ chọn chấm điểm một trong các tiêu chí 4.1, 4.2 hoặc 4.3</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r>
      <w:tr w:rsidR="00B469F1" w:rsidRPr="00B469F1" w:rsidTr="00B469F1">
        <w:trPr>
          <w:trHeight w:val="1812"/>
        </w:trPr>
        <w:tc>
          <w:tcPr>
            <w:tcW w:w="563" w:type="dxa"/>
            <w:tcBorders>
              <w:top w:val="nil"/>
              <w:left w:val="single" w:sz="4" w:space="0" w:color="auto"/>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5</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 xml:space="preserve">Kinh nghiệm hành nghề của đấu giá viên của tổ chức đấu giá tài sản (Tính từ thời điểm được cấp Thẻ đấu giá viên theo Nghị định số 05/2005/NĐ-CP ngày 18/01/2005 </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r>
      <w:tr w:rsidR="00B469F1" w:rsidRPr="00B469F1" w:rsidTr="00B469F1">
        <w:trPr>
          <w:trHeight w:val="214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6</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Nộp thuế thu nhập doanh nghiệp hoặc đóng góp vào ngân sách Nhà nước trong năm trước liền kề, trừ thuế giá trị gia tăng. Chỉ chọn chấm điểm một trong các tiêu chí 6.1, 6.2, 6.3 hoặc 6.4</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4</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487"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1694"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r>
      <w:tr w:rsidR="00B469F1" w:rsidRPr="00B469F1" w:rsidTr="00B469F1">
        <w:trPr>
          <w:trHeight w:val="12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lastRenderedPageBreak/>
              <w:t>7</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Đội ngũ nhân viên làm việc theo hợp đồng lao động. Chỉ chọn chấm điểm một trong các tiêu chí 7.1 hoặc 7.2</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3</w:t>
            </w:r>
          </w:p>
        </w:tc>
      </w:tr>
      <w:tr w:rsidR="00B469F1" w:rsidRPr="00B469F1" w:rsidTr="00B469F1">
        <w:trPr>
          <w:trHeight w:val="148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8</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Có người tập sự hành nghề trong tổ chức đấu giá tài sản trong năm trước liền kề hoặc năm nộp hồ sơ đăng ký tham gia lựa chọn</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r>
      <w:tr w:rsidR="00B469F1" w:rsidRPr="00B469F1" w:rsidTr="00B469F1">
        <w:trPr>
          <w:trHeight w:val="1429"/>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IV</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 xml:space="preserve">Thù lao dịch vụ đấu giá, chi phí đấu giá tài sản phù hợp </w:t>
            </w:r>
            <w:r w:rsidRPr="00B469F1">
              <w:rPr>
                <w:rFonts w:ascii="Times New Roman" w:eastAsia="Times New Roman" w:hAnsi="Times New Roman" w:cs="Times New Roman"/>
                <w:b/>
                <w:bCs/>
                <w:color w:val="000000"/>
                <w:sz w:val="26"/>
                <w:szCs w:val="26"/>
              </w:rPr>
              <w:br/>
              <w:t>Chỉ chọn chấm điểm một trong các tiêu chí 1, 2 hoặc 3</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5</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5</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5</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5</w:t>
            </w:r>
          </w:p>
        </w:tc>
      </w:tr>
      <w:tr w:rsidR="00B469F1" w:rsidRPr="00B469F1" w:rsidTr="00B469F1">
        <w:trPr>
          <w:trHeight w:val="85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1</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Bằng mức thù lao dịch vụ đấu giá theo quy định của Bộ Tài chính</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r>
      <w:tr w:rsidR="00B469F1" w:rsidRPr="00B469F1" w:rsidTr="00B469F1">
        <w:trPr>
          <w:trHeight w:val="210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2</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r>
      <w:tr w:rsidR="00B469F1" w:rsidRPr="00B469F1" w:rsidTr="00B469F1">
        <w:trPr>
          <w:trHeight w:val="211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3</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5</w:t>
            </w:r>
          </w:p>
        </w:tc>
      </w:tr>
      <w:tr w:rsidR="00B469F1" w:rsidRPr="00B469F1" w:rsidTr="00B469F1">
        <w:trPr>
          <w:trHeight w:val="121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lastRenderedPageBreak/>
              <w:t>V</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Tiêu chí khác phù hợp với tài sản đấu giá do người có tài sản đấu giá quyết định</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5</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5</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0</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0</w:t>
            </w:r>
          </w:p>
        </w:tc>
      </w:tr>
      <w:tr w:rsidR="00B469F1" w:rsidRPr="00B469F1" w:rsidTr="00B469F1">
        <w:trPr>
          <w:trHeight w:val="469"/>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Tổng số điểm</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87</w:t>
            </w:r>
          </w:p>
        </w:tc>
        <w:tc>
          <w:tcPr>
            <w:tcW w:w="1570" w:type="dxa"/>
            <w:tcBorders>
              <w:top w:val="nil"/>
              <w:left w:val="nil"/>
              <w:bottom w:val="single" w:sz="4" w:space="0" w:color="auto"/>
              <w:right w:val="single" w:sz="4" w:space="0" w:color="auto"/>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86</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77</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81</w:t>
            </w:r>
          </w:p>
        </w:tc>
      </w:tr>
      <w:tr w:rsidR="00B469F1" w:rsidRPr="00B469F1" w:rsidTr="00B469F1">
        <w:trPr>
          <w:trHeight w:val="112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VI</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Có tên trong danh sách các tổ chức đấu giá tài sản do Bộ Tư pháp công bố</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 </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 </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6"/>
                <w:szCs w:val="26"/>
              </w:rPr>
            </w:pPr>
            <w:r w:rsidRPr="00B469F1">
              <w:rPr>
                <w:rFonts w:ascii="Times New Roman" w:eastAsia="Times New Roman" w:hAnsi="Times New Roman" w:cs="Times New Roman"/>
                <w:b/>
                <w:bCs/>
                <w:color w:val="000000"/>
                <w:sz w:val="26"/>
                <w:szCs w:val="26"/>
              </w:rPr>
              <w:t> </w:t>
            </w:r>
          </w:p>
        </w:tc>
      </w:tr>
      <w:tr w:rsidR="00B469F1" w:rsidRPr="00B469F1" w:rsidTr="00B469F1">
        <w:trPr>
          <w:trHeight w:val="822"/>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1</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Có tên trong danh sách tổ chức đấu giá tài sản do Bộ Tư pháp công bố</w:t>
            </w:r>
          </w:p>
        </w:tc>
        <w:tc>
          <w:tcPr>
            <w:tcW w:w="2025"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Đủ điều kiện</w:t>
            </w:r>
          </w:p>
        </w:tc>
        <w:tc>
          <w:tcPr>
            <w:tcW w:w="157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Đủ điều kiện</w:t>
            </w:r>
          </w:p>
        </w:tc>
        <w:tc>
          <w:tcPr>
            <w:tcW w:w="1487"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Đủ điều kiện</w:t>
            </w:r>
          </w:p>
        </w:tc>
        <w:tc>
          <w:tcPr>
            <w:tcW w:w="1694"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Đủ điều kiện</w:t>
            </w:r>
          </w:p>
        </w:tc>
      </w:tr>
      <w:tr w:rsidR="00B469F1" w:rsidRPr="00B469F1" w:rsidTr="00B469F1">
        <w:trPr>
          <w:trHeight w:val="111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2</w:t>
            </w:r>
          </w:p>
        </w:tc>
        <w:tc>
          <w:tcPr>
            <w:tcW w:w="4180" w:type="dxa"/>
            <w:tcBorders>
              <w:top w:val="nil"/>
              <w:left w:val="nil"/>
              <w:bottom w:val="single" w:sz="4" w:space="0" w:color="auto"/>
              <w:right w:val="single" w:sz="4" w:space="0" w:color="auto"/>
            </w:tcBorders>
            <w:shd w:val="clear" w:color="000000" w:fill="FFFFFF"/>
            <w:vAlign w:val="center"/>
            <w:hideMark/>
          </w:tcPr>
          <w:p w:rsidR="00B469F1" w:rsidRPr="00B469F1" w:rsidRDefault="00B469F1" w:rsidP="00B469F1">
            <w:pPr>
              <w:spacing w:after="0" w:line="240" w:lineRule="auto"/>
              <w:rPr>
                <w:rFonts w:ascii="Times New Roman" w:eastAsia="Times New Roman" w:hAnsi="Times New Roman" w:cs="Times New Roman"/>
                <w:i/>
                <w:iCs/>
                <w:color w:val="000000"/>
                <w:sz w:val="26"/>
                <w:szCs w:val="26"/>
              </w:rPr>
            </w:pPr>
            <w:r w:rsidRPr="00B469F1">
              <w:rPr>
                <w:rFonts w:ascii="Times New Roman" w:eastAsia="Times New Roman" w:hAnsi="Times New Roman" w:cs="Times New Roman"/>
                <w:i/>
                <w:iCs/>
                <w:color w:val="000000"/>
                <w:sz w:val="26"/>
                <w:szCs w:val="26"/>
              </w:rPr>
              <w:t>Không có tên trong danh sách tổ chức đấu giá tài sản do Bộ Tư pháp công bố</w:t>
            </w:r>
          </w:p>
        </w:tc>
        <w:tc>
          <w:tcPr>
            <w:tcW w:w="2025"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487"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c>
          <w:tcPr>
            <w:tcW w:w="1694" w:type="dxa"/>
            <w:tcBorders>
              <w:top w:val="nil"/>
              <w:left w:val="nil"/>
              <w:bottom w:val="single" w:sz="4" w:space="0" w:color="auto"/>
              <w:right w:val="single" w:sz="4" w:space="0" w:color="auto"/>
            </w:tcBorders>
            <w:shd w:val="clear" w:color="000000" w:fill="FFFFFF"/>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r w:rsidRPr="00B469F1">
              <w:rPr>
                <w:rFonts w:ascii="Times New Roman" w:eastAsia="Times New Roman" w:hAnsi="Times New Roman" w:cs="Times New Roman"/>
                <w:color w:val="000000"/>
                <w:sz w:val="26"/>
                <w:szCs w:val="26"/>
              </w:rPr>
              <w:t> </w:t>
            </w:r>
          </w:p>
        </w:tc>
      </w:tr>
      <w:tr w:rsidR="00B469F1" w:rsidRPr="00B469F1" w:rsidTr="00B469F1">
        <w:trPr>
          <w:trHeight w:val="192"/>
        </w:trPr>
        <w:tc>
          <w:tcPr>
            <w:tcW w:w="563"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color w:val="000000"/>
                <w:sz w:val="26"/>
                <w:szCs w:val="26"/>
              </w:rPr>
            </w:pPr>
          </w:p>
        </w:tc>
        <w:tc>
          <w:tcPr>
            <w:tcW w:w="4180" w:type="dxa"/>
            <w:tcBorders>
              <w:top w:val="nil"/>
              <w:left w:val="nil"/>
              <w:bottom w:val="nil"/>
              <w:right w:val="nil"/>
            </w:tcBorders>
            <w:shd w:val="clear" w:color="auto" w:fill="auto"/>
            <w:vAlign w:val="center"/>
            <w:hideMark/>
          </w:tcPr>
          <w:p w:rsidR="00B469F1" w:rsidRPr="00B469F1" w:rsidRDefault="00B469F1" w:rsidP="00B469F1">
            <w:pPr>
              <w:spacing w:after="0" w:line="240" w:lineRule="auto"/>
              <w:jc w:val="center"/>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570" w:type="dxa"/>
            <w:tcBorders>
              <w:top w:val="nil"/>
              <w:left w:val="nil"/>
              <w:bottom w:val="nil"/>
              <w:right w:val="nil"/>
            </w:tcBorders>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jc w:val="center"/>
              <w:rPr>
                <w:rFonts w:ascii="Times New Roman" w:eastAsia="Times New Roman" w:hAnsi="Times New Roman" w:cs="Times New Roman"/>
                <w:sz w:val="20"/>
                <w:szCs w:val="20"/>
              </w:rPr>
            </w:pPr>
          </w:p>
        </w:tc>
        <w:tc>
          <w:tcPr>
            <w:tcW w:w="1694"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1542"/>
        </w:trPr>
        <w:tc>
          <w:tcPr>
            <w:tcW w:w="11519" w:type="dxa"/>
            <w:gridSpan w:val="6"/>
            <w:tcBorders>
              <w:top w:val="nil"/>
              <w:left w:val="nil"/>
              <w:bottom w:val="nil"/>
              <w:right w:val="nil"/>
            </w:tcBorders>
            <w:shd w:val="clear" w:color="auto" w:fill="auto"/>
            <w:vAlign w:val="center"/>
            <w:hideMark/>
          </w:tcPr>
          <w:p w:rsidR="00B469F1" w:rsidRPr="00B469F1" w:rsidRDefault="00B469F1" w:rsidP="00B469F1">
            <w:pPr>
              <w:spacing w:after="0" w:line="240" w:lineRule="auto"/>
              <w:jc w:val="both"/>
              <w:rPr>
                <w:rFonts w:ascii="Times New Roman" w:eastAsia="Times New Roman" w:hAnsi="Times New Roman" w:cs="Times New Roman"/>
                <w:color w:val="000000"/>
                <w:sz w:val="28"/>
                <w:szCs w:val="28"/>
              </w:rPr>
            </w:pPr>
            <w:r w:rsidRPr="00B469F1">
              <w:rPr>
                <w:rFonts w:ascii="Times New Roman" w:eastAsia="Times New Roman" w:hAnsi="Times New Roman" w:cs="Times New Roman"/>
                <w:color w:val="000000"/>
                <w:sz w:val="28"/>
                <w:szCs w:val="28"/>
              </w:rPr>
              <w:t xml:space="preserve">      Sau khi kiểm tra xem xét đánh giá chấm điểm 04 đơn vị tham gia Hội đồng thanh lý thống nhất lựa chọn Trung tâm dịch vụ đấu giá tài sản tỉnh Đồng Nai là đơn vị tổ chức đấu giá tài sản thanh lý, gói “thanh lý 514 phương tiện vi phạm hành chính bị tịch thu" là đơn vị có số điểm cao nhất 87 điểm./.</w:t>
            </w:r>
          </w:p>
        </w:tc>
      </w:tr>
      <w:tr w:rsidR="00B469F1" w:rsidRPr="00B469F1" w:rsidTr="00B469F1">
        <w:trPr>
          <w:trHeight w:val="360"/>
        </w:trPr>
        <w:tc>
          <w:tcPr>
            <w:tcW w:w="563" w:type="dxa"/>
            <w:tcBorders>
              <w:top w:val="nil"/>
              <w:left w:val="nil"/>
              <w:bottom w:val="nil"/>
              <w:right w:val="nil"/>
            </w:tcBorders>
            <w:shd w:val="clear" w:color="auto" w:fill="auto"/>
            <w:vAlign w:val="center"/>
            <w:hideMark/>
          </w:tcPr>
          <w:p w:rsidR="00B469F1" w:rsidRPr="00B469F1" w:rsidRDefault="00B469F1" w:rsidP="00B469F1">
            <w:pPr>
              <w:spacing w:after="0" w:line="240" w:lineRule="auto"/>
              <w:jc w:val="both"/>
              <w:rPr>
                <w:rFonts w:ascii="Times New Roman" w:eastAsia="Times New Roman" w:hAnsi="Times New Roman" w:cs="Times New Roman"/>
                <w:color w:val="000000"/>
                <w:sz w:val="28"/>
                <w:szCs w:val="28"/>
              </w:rPr>
            </w:pPr>
          </w:p>
        </w:tc>
        <w:tc>
          <w:tcPr>
            <w:tcW w:w="4180" w:type="dxa"/>
            <w:tcBorders>
              <w:top w:val="nil"/>
              <w:left w:val="nil"/>
              <w:bottom w:val="nil"/>
              <w:right w:val="nil"/>
            </w:tcBorders>
            <w:shd w:val="clear" w:color="auto" w:fill="auto"/>
            <w:vAlign w:val="center"/>
            <w:hideMark/>
          </w:tcPr>
          <w:p w:rsidR="00B469F1" w:rsidRPr="00B469F1" w:rsidRDefault="00B469F1" w:rsidP="00B469F1">
            <w:pPr>
              <w:spacing w:after="0" w:line="240" w:lineRule="auto"/>
              <w:jc w:val="both"/>
              <w:rPr>
                <w:rFonts w:ascii="Times New Roman" w:eastAsia="Times New Roman" w:hAnsi="Times New Roman" w:cs="Times New Roman"/>
                <w:sz w:val="20"/>
                <w:szCs w:val="20"/>
              </w:rPr>
            </w:pPr>
          </w:p>
        </w:tc>
        <w:tc>
          <w:tcPr>
            <w:tcW w:w="2025" w:type="dxa"/>
            <w:tcBorders>
              <w:top w:val="nil"/>
              <w:left w:val="nil"/>
              <w:right w:val="nil"/>
            </w:tcBorders>
            <w:shd w:val="clear" w:color="auto" w:fill="auto"/>
            <w:vAlign w:val="center"/>
            <w:hideMark/>
          </w:tcPr>
          <w:p w:rsidR="00B469F1" w:rsidRPr="00B469F1" w:rsidRDefault="00B469F1" w:rsidP="00B469F1">
            <w:pPr>
              <w:spacing w:after="0" w:line="240" w:lineRule="auto"/>
              <w:jc w:val="both"/>
              <w:rPr>
                <w:rFonts w:ascii="Times New Roman" w:eastAsia="Times New Roman" w:hAnsi="Times New Roman" w:cs="Times New Roman"/>
                <w:sz w:val="20"/>
                <w:szCs w:val="20"/>
              </w:rPr>
            </w:pPr>
          </w:p>
        </w:tc>
        <w:tc>
          <w:tcPr>
            <w:tcW w:w="1570" w:type="dxa"/>
            <w:tcBorders>
              <w:top w:val="nil"/>
              <w:left w:val="nil"/>
              <w:right w:val="nil"/>
            </w:tcBorders>
            <w:shd w:val="clear" w:color="auto" w:fill="auto"/>
            <w:vAlign w:val="center"/>
            <w:hideMark/>
          </w:tcPr>
          <w:p w:rsidR="00B469F1" w:rsidRPr="00B469F1" w:rsidRDefault="00B469F1" w:rsidP="00B469F1">
            <w:pPr>
              <w:spacing w:after="0" w:line="240" w:lineRule="auto"/>
              <w:jc w:val="both"/>
              <w:rPr>
                <w:rFonts w:ascii="Times New Roman" w:eastAsia="Times New Roman" w:hAnsi="Times New Roman" w:cs="Times New Roman"/>
                <w:sz w:val="20"/>
                <w:szCs w:val="20"/>
              </w:rPr>
            </w:pPr>
          </w:p>
        </w:tc>
        <w:tc>
          <w:tcPr>
            <w:tcW w:w="1487" w:type="dxa"/>
            <w:tcBorders>
              <w:top w:val="nil"/>
              <w:left w:val="nil"/>
              <w:right w:val="nil"/>
            </w:tcBorders>
            <w:shd w:val="clear" w:color="auto" w:fill="auto"/>
            <w:noWrap/>
            <w:vAlign w:val="bottom"/>
            <w:hideMark/>
          </w:tcPr>
          <w:p w:rsidR="00B469F1" w:rsidRPr="00B469F1" w:rsidRDefault="00B469F1" w:rsidP="00B469F1">
            <w:pPr>
              <w:spacing w:after="0" w:line="240" w:lineRule="auto"/>
              <w:jc w:val="both"/>
              <w:rPr>
                <w:rFonts w:ascii="Times New Roman" w:eastAsia="Times New Roman" w:hAnsi="Times New Roman" w:cs="Times New Roman"/>
                <w:sz w:val="20"/>
                <w:szCs w:val="20"/>
              </w:rPr>
            </w:pPr>
          </w:p>
        </w:tc>
        <w:tc>
          <w:tcPr>
            <w:tcW w:w="1694" w:type="dxa"/>
            <w:tcBorders>
              <w:top w:val="nil"/>
              <w:left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375"/>
        </w:trPr>
        <w:tc>
          <w:tcPr>
            <w:tcW w:w="4743" w:type="dxa"/>
            <w:gridSpan w:val="2"/>
            <w:tcBorders>
              <w:top w:val="nil"/>
              <w:left w:val="nil"/>
              <w:bottom w:val="nil"/>
            </w:tcBorders>
            <w:shd w:val="clear" w:color="auto" w:fill="auto"/>
            <w:vAlign w:val="center"/>
            <w:hideMark/>
          </w:tcPr>
          <w:p w:rsidR="00B469F1" w:rsidRPr="00B469F1" w:rsidRDefault="00B469F1" w:rsidP="00B469F1">
            <w:pPr>
              <w:spacing w:after="0" w:line="240" w:lineRule="auto"/>
              <w:rPr>
                <w:rFonts w:ascii="Times New Roman" w:eastAsia="Times New Roman" w:hAnsi="Times New Roman" w:cs="Times New Roman"/>
                <w:b/>
                <w:bCs/>
                <w:i/>
                <w:iCs/>
                <w:color w:val="000000"/>
                <w:sz w:val="24"/>
                <w:szCs w:val="24"/>
              </w:rPr>
            </w:pPr>
            <w:r w:rsidRPr="00B469F1">
              <w:rPr>
                <w:rFonts w:ascii="Times New Roman" w:eastAsia="Times New Roman" w:hAnsi="Times New Roman" w:cs="Times New Roman"/>
                <w:b/>
                <w:bCs/>
                <w:i/>
                <w:iCs/>
                <w:color w:val="000000"/>
                <w:sz w:val="24"/>
                <w:szCs w:val="24"/>
              </w:rPr>
              <w:t xml:space="preserve">  Nơi nhận:</w:t>
            </w:r>
          </w:p>
        </w:tc>
        <w:tc>
          <w:tcPr>
            <w:tcW w:w="6776" w:type="dxa"/>
            <w:gridSpan w:val="4"/>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b/>
                <w:bCs/>
                <w:color w:val="000000"/>
                <w:sz w:val="28"/>
                <w:szCs w:val="28"/>
              </w:rPr>
              <w:t>KT. TRƯỞNG CÔNG AN HUYỆN</w:t>
            </w:r>
          </w:p>
        </w:tc>
      </w:tr>
      <w:tr w:rsidR="00B469F1" w:rsidRPr="00B469F1" w:rsidTr="00B469F1">
        <w:trPr>
          <w:trHeight w:val="375"/>
        </w:trPr>
        <w:tc>
          <w:tcPr>
            <w:tcW w:w="4743" w:type="dxa"/>
            <w:gridSpan w:val="2"/>
            <w:tcBorders>
              <w:top w:val="nil"/>
              <w:left w:val="nil"/>
              <w:bottom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color w:val="000000"/>
                <w:sz w:val="24"/>
                <w:szCs w:val="24"/>
              </w:rPr>
            </w:pPr>
            <w:r w:rsidRPr="00B469F1">
              <w:rPr>
                <w:rFonts w:ascii="Times New Roman" w:eastAsia="Times New Roman" w:hAnsi="Times New Roman" w:cs="Times New Roman"/>
                <w:color w:val="000000"/>
                <w:sz w:val="24"/>
                <w:szCs w:val="24"/>
              </w:rPr>
              <w:t xml:space="preserve"> -Đăng cổng thông tin Quốc gia về ĐGTS;</w:t>
            </w:r>
          </w:p>
        </w:tc>
        <w:tc>
          <w:tcPr>
            <w:tcW w:w="6776" w:type="dxa"/>
            <w:gridSpan w:val="4"/>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b/>
                <w:bCs/>
                <w:color w:val="000000"/>
                <w:sz w:val="28"/>
                <w:szCs w:val="28"/>
              </w:rPr>
              <w:t>PHÓ TRƯỞNG CÔNG AN HUYỆN</w:t>
            </w:r>
          </w:p>
        </w:tc>
      </w:tr>
      <w:tr w:rsidR="00B469F1" w:rsidRPr="00B469F1" w:rsidTr="00B469F1">
        <w:trPr>
          <w:trHeight w:val="375"/>
        </w:trPr>
        <w:tc>
          <w:tcPr>
            <w:tcW w:w="4743" w:type="dxa"/>
            <w:gridSpan w:val="2"/>
            <w:tcBorders>
              <w:top w:val="nil"/>
              <w:left w:val="nil"/>
              <w:bottom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color w:val="000000"/>
                <w:sz w:val="24"/>
                <w:szCs w:val="24"/>
              </w:rPr>
            </w:pPr>
            <w:r w:rsidRPr="00B469F1">
              <w:rPr>
                <w:rFonts w:ascii="Times New Roman" w:eastAsia="Times New Roman" w:hAnsi="Times New Roman" w:cs="Times New Roman"/>
                <w:color w:val="000000"/>
                <w:sz w:val="24"/>
                <w:szCs w:val="24"/>
              </w:rPr>
              <w:t xml:space="preserve"> -Đăng cổng thông tin Công an tỉnh Đồng Nai;</w:t>
            </w:r>
          </w:p>
        </w:tc>
        <w:tc>
          <w:tcPr>
            <w:tcW w:w="2025" w:type="dxa"/>
            <w:shd w:val="clear" w:color="auto" w:fill="auto"/>
            <w:noWrap/>
            <w:vAlign w:val="center"/>
            <w:hideMark/>
          </w:tcPr>
          <w:p w:rsidR="00B469F1" w:rsidRPr="00B469F1" w:rsidRDefault="00B469F1" w:rsidP="00B469F1">
            <w:pPr>
              <w:spacing w:after="0" w:line="240" w:lineRule="auto"/>
              <w:rPr>
                <w:rFonts w:ascii="Times New Roman" w:eastAsia="Times New Roman" w:hAnsi="Times New Roman" w:cs="Times New Roman"/>
                <w:color w:val="000000"/>
                <w:sz w:val="24"/>
                <w:szCs w:val="24"/>
              </w:rPr>
            </w:pPr>
          </w:p>
        </w:tc>
        <w:tc>
          <w:tcPr>
            <w:tcW w:w="1570" w:type="dxa"/>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sz w:val="20"/>
                <w:szCs w:val="20"/>
              </w:rPr>
            </w:pPr>
          </w:p>
        </w:tc>
        <w:tc>
          <w:tcPr>
            <w:tcW w:w="1487" w:type="dxa"/>
            <w:shd w:val="clear" w:color="auto" w:fill="auto"/>
            <w:noWrap/>
            <w:vAlign w:val="bottom"/>
            <w:hideMark/>
          </w:tcPr>
          <w:p w:rsidR="00B469F1" w:rsidRPr="00B469F1" w:rsidRDefault="00B469F1" w:rsidP="00B469F1">
            <w:pPr>
              <w:spacing w:after="0" w:line="240" w:lineRule="auto"/>
              <w:jc w:val="center"/>
              <w:rPr>
                <w:rFonts w:ascii="Times New Roman" w:eastAsia="Times New Roman" w:hAnsi="Times New Roman" w:cs="Times New Roman"/>
                <w:sz w:val="20"/>
                <w:szCs w:val="20"/>
              </w:rPr>
            </w:pPr>
          </w:p>
        </w:tc>
        <w:tc>
          <w:tcPr>
            <w:tcW w:w="1694" w:type="dxa"/>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375"/>
        </w:trPr>
        <w:tc>
          <w:tcPr>
            <w:tcW w:w="4743" w:type="dxa"/>
            <w:gridSpan w:val="2"/>
            <w:tcBorders>
              <w:top w:val="nil"/>
              <w:left w:val="nil"/>
              <w:bottom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color w:val="000000"/>
                <w:sz w:val="24"/>
                <w:szCs w:val="24"/>
              </w:rPr>
            </w:pPr>
            <w:r w:rsidRPr="00B469F1">
              <w:rPr>
                <w:rFonts w:ascii="Times New Roman" w:eastAsia="Times New Roman" w:hAnsi="Times New Roman" w:cs="Times New Roman"/>
                <w:color w:val="000000"/>
                <w:sz w:val="24"/>
                <w:szCs w:val="24"/>
              </w:rPr>
              <w:t xml:space="preserve"> -Lưu: CAH(TM).</w:t>
            </w:r>
          </w:p>
        </w:tc>
        <w:tc>
          <w:tcPr>
            <w:tcW w:w="6776" w:type="dxa"/>
            <w:gridSpan w:val="4"/>
            <w:shd w:val="clear" w:color="auto" w:fill="auto"/>
            <w:noWrap/>
            <w:vAlign w:val="bottom"/>
            <w:hideMark/>
          </w:tcPr>
          <w:p w:rsidR="00B469F1" w:rsidRPr="00B469F1" w:rsidRDefault="00B469F1" w:rsidP="00B469F1">
            <w:pPr>
              <w:spacing w:after="0" w:line="240" w:lineRule="auto"/>
              <w:jc w:val="center"/>
              <w:rPr>
                <w:rFonts w:ascii="Times New Roman" w:eastAsia="Times New Roman" w:hAnsi="Times New Roman" w:cs="Times New Roman"/>
                <w:b/>
                <w:i/>
                <w:sz w:val="20"/>
                <w:szCs w:val="20"/>
              </w:rPr>
            </w:pPr>
            <w:r w:rsidRPr="00B469F1">
              <w:rPr>
                <w:rFonts w:ascii="Times New Roman" w:eastAsia="Times New Roman" w:hAnsi="Times New Roman" w:cs="Times New Roman"/>
                <w:b/>
                <w:i/>
                <w:sz w:val="28"/>
                <w:szCs w:val="20"/>
              </w:rPr>
              <w:t>(Đã ký)</w:t>
            </w:r>
          </w:p>
        </w:tc>
      </w:tr>
      <w:tr w:rsidR="00B469F1" w:rsidRPr="00B469F1" w:rsidTr="00B469F1">
        <w:trPr>
          <w:trHeight w:val="375"/>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4180" w:type="dxa"/>
            <w:tcBorders>
              <w:top w:val="nil"/>
              <w:left w:val="nil"/>
              <w:bottom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2025" w:type="dxa"/>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570" w:type="dxa"/>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487" w:type="dxa"/>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1694" w:type="dxa"/>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r>
      <w:tr w:rsidR="00B469F1" w:rsidRPr="00B469F1" w:rsidTr="00B469F1">
        <w:trPr>
          <w:trHeight w:val="375"/>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4180" w:type="dxa"/>
            <w:tcBorders>
              <w:top w:val="nil"/>
              <w:left w:val="nil"/>
              <w:bottom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6776" w:type="dxa"/>
            <w:gridSpan w:val="4"/>
            <w:shd w:val="clear" w:color="auto" w:fill="auto"/>
            <w:noWrap/>
            <w:vAlign w:val="center"/>
            <w:hideMark/>
          </w:tcPr>
          <w:p w:rsidR="00B469F1" w:rsidRPr="00B469F1" w:rsidRDefault="00B469F1" w:rsidP="00B469F1">
            <w:pPr>
              <w:spacing w:after="0" w:line="240" w:lineRule="auto"/>
              <w:jc w:val="center"/>
              <w:rPr>
                <w:rFonts w:ascii="Times New Roman" w:eastAsia="Times New Roman" w:hAnsi="Times New Roman" w:cs="Times New Roman"/>
                <w:b/>
                <w:bCs/>
                <w:color w:val="000000"/>
                <w:sz w:val="28"/>
                <w:szCs w:val="28"/>
              </w:rPr>
            </w:pPr>
            <w:r w:rsidRPr="00B469F1">
              <w:rPr>
                <w:rFonts w:ascii="Times New Roman" w:eastAsia="Times New Roman" w:hAnsi="Times New Roman" w:cs="Times New Roman"/>
                <w:b/>
                <w:bCs/>
                <w:color w:val="000000"/>
                <w:sz w:val="28"/>
                <w:szCs w:val="28"/>
              </w:rPr>
              <w:t>Thượng tá Trần Văn Thuận</w:t>
            </w:r>
          </w:p>
        </w:tc>
      </w:tr>
      <w:tr w:rsidR="00B469F1" w:rsidRPr="00B469F1" w:rsidTr="00B469F1">
        <w:trPr>
          <w:trHeight w:val="375"/>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6776" w:type="dxa"/>
            <w:gridSpan w:val="4"/>
            <w:tcBorders>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bookmarkStart w:id="0" w:name="_GoBack"/>
        <w:bookmarkEnd w:id="0"/>
      </w:tr>
      <w:tr w:rsidR="00B469F1" w:rsidRPr="00B469F1" w:rsidTr="00B469F1">
        <w:trPr>
          <w:trHeight w:val="375"/>
        </w:trPr>
        <w:tc>
          <w:tcPr>
            <w:tcW w:w="563"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jc w:val="center"/>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rsidR="00B469F1" w:rsidRPr="00B469F1" w:rsidRDefault="00B469F1" w:rsidP="00B469F1">
            <w:pPr>
              <w:spacing w:after="0" w:line="240" w:lineRule="auto"/>
              <w:rPr>
                <w:rFonts w:ascii="Times New Roman" w:eastAsia="Times New Roman" w:hAnsi="Times New Roman" w:cs="Times New Roman"/>
                <w:sz w:val="20"/>
                <w:szCs w:val="20"/>
              </w:rPr>
            </w:pPr>
          </w:p>
        </w:tc>
        <w:tc>
          <w:tcPr>
            <w:tcW w:w="6776" w:type="dxa"/>
            <w:gridSpan w:val="4"/>
            <w:tcBorders>
              <w:top w:val="nil"/>
              <w:left w:val="nil"/>
              <w:bottom w:val="nil"/>
              <w:right w:val="nil"/>
            </w:tcBorders>
            <w:shd w:val="clear" w:color="auto" w:fill="auto"/>
            <w:noWrap/>
            <w:vAlign w:val="center"/>
          </w:tcPr>
          <w:p w:rsidR="00B469F1" w:rsidRPr="00B469F1" w:rsidRDefault="00B469F1" w:rsidP="00B469F1">
            <w:pPr>
              <w:spacing w:after="0" w:line="240" w:lineRule="auto"/>
              <w:rPr>
                <w:rFonts w:ascii="Times New Roman" w:eastAsia="Times New Roman" w:hAnsi="Times New Roman" w:cs="Times New Roman"/>
                <w:b/>
                <w:bCs/>
                <w:color w:val="000000"/>
                <w:sz w:val="28"/>
                <w:szCs w:val="28"/>
              </w:rPr>
            </w:pPr>
          </w:p>
        </w:tc>
      </w:tr>
    </w:tbl>
    <w:p w:rsidR="008A299E" w:rsidRDefault="008A299E"/>
    <w:sectPr w:rsidR="008A299E" w:rsidSect="00B469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F1"/>
    <w:rsid w:val="008A299E"/>
    <w:rsid w:val="00B4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0A03"/>
  <w15:chartTrackingRefBased/>
  <w15:docId w15:val="{426D6E7B-B808-4878-AED3-D33C7E40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QY5UZ4ZQWDMN-2102554853-14811</_dlc_DocId>
    <_dlc_DocIdUrl xmlns="df6cab6d-25a5-4a45-89de-f19c5af208b6">
      <Url>https://congan.dongnai.gov.vn/_layouts/15/DocIdRedir.aspx?ID=QY5UZ4ZQWDMN-2102554853-14811</Url>
      <Description>QY5UZ4ZQWDMN-2102554853-14811</Description>
    </_dlc_DocIdUrl>
  </documentManagement>
</p:properties>
</file>

<file path=customXml/itemProps1.xml><?xml version="1.0" encoding="utf-8"?>
<ds:datastoreItem xmlns:ds="http://schemas.openxmlformats.org/officeDocument/2006/customXml" ds:itemID="{FF30FD78-9130-4519-95F1-9BC038B74CAB}"/>
</file>

<file path=customXml/itemProps2.xml><?xml version="1.0" encoding="utf-8"?>
<ds:datastoreItem xmlns:ds="http://schemas.openxmlformats.org/officeDocument/2006/customXml" ds:itemID="{71D3FA5D-D277-4191-8C48-6468C6E21C37}"/>
</file>

<file path=customXml/itemProps3.xml><?xml version="1.0" encoding="utf-8"?>
<ds:datastoreItem xmlns:ds="http://schemas.openxmlformats.org/officeDocument/2006/customXml" ds:itemID="{B378C49B-AF0D-4FA9-A8BB-D99BAFB1EA6D}"/>
</file>

<file path=customXml/itemProps4.xml><?xml version="1.0" encoding="utf-8"?>
<ds:datastoreItem xmlns:ds="http://schemas.openxmlformats.org/officeDocument/2006/customXml" ds:itemID="{0CF5F6F5-2306-43A4-B2FD-F859D39597CA}"/>
</file>

<file path=docProps/app.xml><?xml version="1.0" encoding="utf-8"?>
<Properties xmlns="http://schemas.openxmlformats.org/officeDocument/2006/extended-properties" xmlns:vt="http://schemas.openxmlformats.org/officeDocument/2006/docPropsVTypes">
  <Template>Normal</Template>
  <TotalTime>4</TotalTime>
  <Pages>8</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2025-02-03T03:10:00Z</dcterms:created>
  <dcterms:modified xsi:type="dcterms:W3CDTF">2025-02-03T03:14:00Z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c7fb7d05-c925-41dd-a505-6214861998ed</vt:lpwstr>
  </property>
</Properties>
</file>